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45716" w:rsidRDefault="00445716">
      <w:pPr>
        <w:pStyle w:val="a9"/>
        <w:spacing w:line="240" w:lineRule="exact"/>
        <w:ind w:firstLine="709"/>
        <w:jc w:val="both"/>
      </w:pPr>
      <w:r>
        <w:t xml:space="preserve">Направляю для ознакомления пресс-релиз. </w:t>
      </w:r>
      <w:r>
        <w:rPr>
          <w:i/>
        </w:rPr>
        <w:t xml:space="preserve">При использовании информации управления Генеральной прокуратуры Российской Федерации по Сибирскому федеральному округу </w:t>
      </w:r>
      <w:r>
        <w:rPr>
          <w:b/>
          <w:i/>
        </w:rPr>
        <w:t>ссылка на источник информации обязательна</w:t>
      </w:r>
      <w:r>
        <w:rPr>
          <w:b/>
        </w:rPr>
        <w:t>.</w:t>
      </w:r>
    </w:p>
    <w:p w:rsidR="00445716" w:rsidRDefault="00445716">
      <w:pPr>
        <w:shd w:val="clear" w:color="auto" w:fill="FFFFFF"/>
        <w:contextualSpacing/>
        <w:jc w:val="both"/>
      </w:pPr>
    </w:p>
    <w:p w:rsidR="003F395A" w:rsidRPr="003F395A" w:rsidRDefault="003F395A" w:rsidP="003F395A">
      <w:pPr>
        <w:spacing w:line="240" w:lineRule="exact"/>
        <w:jc w:val="both"/>
        <w:rPr>
          <w:b/>
          <w:bCs/>
          <w:i/>
          <w:iCs/>
          <w:color w:val="333333"/>
          <w:spacing w:val="-10"/>
          <w:kern w:val="2"/>
          <w:sz w:val="28"/>
          <w:szCs w:val="28"/>
          <w:lang w:eastAsia="ru-RU"/>
        </w:rPr>
      </w:pPr>
      <w:bookmarkStart w:id="0" w:name="_GoBack1"/>
      <w:r w:rsidRPr="003F395A">
        <w:rPr>
          <w:b/>
          <w:bCs/>
          <w:i/>
          <w:iCs/>
          <w:color w:val="333333"/>
          <w:spacing w:val="-10"/>
          <w:kern w:val="2"/>
          <w:sz w:val="28"/>
          <w:szCs w:val="28"/>
          <w:lang w:eastAsia="ru-RU"/>
        </w:rPr>
        <w:t>Заместитель Генерального прокурора России Дмитрий Демешин принял участие в расширенном заседании коллегии по вопросам правоохранительной деятельности, обороны и безопасности, проведенной полпредом Президента России в Сибирском федеральном округе</w:t>
      </w:r>
    </w:p>
    <w:p w:rsidR="003F395A" w:rsidRPr="003F395A" w:rsidRDefault="003F395A" w:rsidP="003F395A">
      <w:pPr>
        <w:spacing w:line="240" w:lineRule="exact"/>
        <w:jc w:val="both"/>
        <w:rPr>
          <w:b/>
          <w:bCs/>
          <w:i/>
          <w:iCs/>
          <w:color w:val="333333"/>
          <w:spacing w:val="-10"/>
          <w:kern w:val="2"/>
          <w:sz w:val="28"/>
          <w:szCs w:val="28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Сегодня, 17 января 2023 г., заместитель Генерального прокурора Российской Федерации Дмитрий Демешин принял участие в расширенном заседании коллегии по вопросам правоохранительной деятельности, обороны и безопасности, проведенной полномочным представителем Президента Российской Федерации в Сибирском федеральном округе, на котором рассмотрены вопросы реализации органами власти мер по обустройству территорий, прилегающих к пунктам пропуска, в приграничных регионах Сибири, развития сети исправительных центров, проблемы в сфере миграции.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Выступая по обозначенным вопросам, заместитель Генпрокурора России отметил, что повестка совещания содержит актуальные для округа вопросы, требующие пристального внимания органов власти и правоохраны, иных ведомств и учреждений.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Дмитрий Демешин обозначил актуальность вопроса нейтрализации угроз национальной безопасности страны в миграционной сфере, особенно в условиях сложившейся в стране ситуации. Рост количества прибывающих в округ иностранных граждан и лиц без гражданства повлек за собой рост преступности. За 9 месяцев 2022 г. в округе расследовано 1 688 преступлений, совершенных указанной категорией граждан, что на 10,5 % больше, чем в аналогичном периоде 2021 г., почти 40 % из них – тяжкие и особо тяжкие уголовно наказуемые деяния.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Серьезную озабоченность вызывает почти четырехкратный рост количества преступлений, совершенных мигрантами в составе организованных групп и преступных сообществ, вдвое – в сфере незаконного оборота наркотиков, с использованием IT-технологий. Негативное влияние на состояние преступности оказывают деяния, связанные с незаконным пересечением государственной границы РФ, организацией незаконной миграции.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Полномочный представитель Президента России в Сибирском федеральном округе Анатолий Серышев акцентировал внимание на необходимость развития сети исправительных центров. Их создание расширит возможность применения не связанного с лишением свободы уголовного наказания в виде принудительных работ, а значит трудоустройства и как следствие – погашение ущерба, причиненного преступлением данными лицами, содержание семей, исполнение алиментных и других обязательств.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Деятельность органов уголовно-исполнительной системы по созданию исправительных центров требует корректив, поскольку не всегда сопровождается обеспечением надлежащих условий для отбывания уголовного наказания. Допускается превышение лимита наполнения исправительных центров, имеют место нарушения, связанные с ненадлежащим осуществлением воспитательной и профилактической работы с осужденными данной категории, контроля их поведения, нарушения требований санитарно-эпидемиологического законодательства, материально-бытового обеспечения, защиты их трудовых прав и др.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Заместитель Генерального прокурора России обратил внимание руководителей регионов, правоохранительных органов на выполнение полномочий по финансированию государственных и муниципальных программ профилактики экстремизма и терроризма, проблему предупреждения негативного воздействия на несовершеннолетних, пресечения проникновения на территорию Российской Федерации под видом беженцев и вынужденных переселенцев незаконных мигрантов, участников радикальных националистических объединений, экстремистских и террористических формирований, выявления каналов доставки оружия, боеприпасов, взрывных устройств и взрывчатых веществ, незаконного оборота наркотиков, пресечения, особенно в период проведения специальной военной операции и частичной мобилизации, фактов склонения молодежи к участию в противоправной деятельности, их вовлечения посредством сети «Интернет» в диверсионную, подрывную работу на стороне ВСУ, в том числе посредством участия общественных организаций, лидеров общественного мнения.</w:t>
      </w:r>
    </w:p>
    <w:p w:rsidR="003F395A" w:rsidRPr="003F395A" w:rsidRDefault="003F395A" w:rsidP="003F395A">
      <w:pPr>
        <w:spacing w:line="240" w:lineRule="exact"/>
        <w:jc w:val="both"/>
        <w:rPr>
          <w:bCs/>
          <w:iCs/>
          <w:color w:val="333333"/>
          <w:spacing w:val="-10"/>
          <w:kern w:val="2"/>
          <w:lang w:eastAsia="ru-RU"/>
        </w:rPr>
      </w:pPr>
    </w:p>
    <w:p w:rsidR="00445716" w:rsidRPr="003F395A" w:rsidRDefault="003F395A" w:rsidP="003F395A">
      <w:pPr>
        <w:spacing w:line="240" w:lineRule="exact"/>
        <w:jc w:val="both"/>
        <w:rPr>
          <w:color w:val="333333"/>
          <w:spacing w:val="-10"/>
          <w:lang w:eastAsia="ru-RU"/>
        </w:rPr>
      </w:pPr>
      <w:r w:rsidRPr="003F395A">
        <w:rPr>
          <w:bCs/>
          <w:iCs/>
          <w:color w:val="333333"/>
          <w:spacing w:val="-10"/>
          <w:kern w:val="2"/>
          <w:lang w:eastAsia="ru-RU"/>
        </w:rPr>
        <w:t>В ходе заседания предложен комплекс дополнительных мер, способствующих решению указанных задач.</w:t>
      </w:r>
    </w:p>
    <w:p w:rsidR="00445716" w:rsidRDefault="00445716">
      <w:pPr>
        <w:spacing w:line="240" w:lineRule="exact"/>
        <w:jc w:val="both"/>
        <w:rPr>
          <w:color w:val="333333"/>
          <w:spacing w:val="-10"/>
          <w:lang w:eastAsia="ru-RU"/>
        </w:rPr>
      </w:pPr>
    </w:p>
    <w:p w:rsidR="00445716" w:rsidRDefault="00445716">
      <w:pPr>
        <w:pBdr>
          <w:top w:val="single" w:sz="4" w:space="1" w:color="FFFFFF"/>
          <w:left w:val="single" w:sz="4" w:space="0" w:color="FFFFFF"/>
          <w:bottom w:val="single" w:sz="4" w:space="25" w:color="FFFFFF"/>
          <w:right w:val="single" w:sz="4" w:space="2" w:color="FFFFFF"/>
        </w:pBdr>
        <w:spacing w:line="240" w:lineRule="exact"/>
        <w:jc w:val="both"/>
      </w:pPr>
      <w:r>
        <w:t>Старший прокурор управления</w:t>
      </w:r>
      <w:bookmarkStart w:id="1" w:name="_GoBack"/>
      <w:bookmarkEnd w:id="1"/>
      <w:r>
        <w:t xml:space="preserve"> Любовь </w:t>
      </w:r>
      <w:proofErr w:type="spellStart"/>
      <w:r>
        <w:t>Баунтрок</w:t>
      </w:r>
      <w:proofErr w:type="spellEnd"/>
      <w:r>
        <w:t>, тел. 8 (383) 218-38-36</w:t>
      </w:r>
      <w:bookmarkEnd w:id="0"/>
    </w:p>
    <w:sectPr w:rsidR="00445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375" w:rsidRDefault="00771375" w:rsidP="00771375">
      <w:r>
        <w:separator/>
      </w:r>
    </w:p>
  </w:endnote>
  <w:endnote w:type="continuationSeparator" w:id="0">
    <w:p w:rsidR="00771375" w:rsidRDefault="00771375" w:rsidP="0077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375" w:rsidRDefault="0077137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375" w:rsidRDefault="0077137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375" w:rsidRDefault="007713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375" w:rsidRDefault="00771375" w:rsidP="00771375">
      <w:r>
        <w:separator/>
      </w:r>
    </w:p>
  </w:footnote>
  <w:footnote w:type="continuationSeparator" w:id="0">
    <w:p w:rsidR="00771375" w:rsidRDefault="00771375" w:rsidP="0077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375" w:rsidRDefault="00771375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375" w:rsidRDefault="00771375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375" w:rsidRDefault="0077137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872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5A"/>
    <w:rsid w:val="003F395A"/>
    <w:rsid w:val="00445716"/>
    <w:rsid w:val="00771375"/>
    <w:rsid w:val="0090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6191A1D-C048-7045-99AD-A1B119F8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0">
    <w:name w:val="Основной текст (2)_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</w:rPr>
  </w:style>
  <w:style w:type="character" w:customStyle="1" w:styleId="ListLabel33">
    <w:name w:val="ListLabel 33"/>
    <w:rPr>
      <w:rFonts w:eastAsia="Times New Roman"/>
    </w:rPr>
  </w:style>
  <w:style w:type="character" w:customStyle="1" w:styleId="ListLabel32">
    <w:name w:val="ListLabel 32"/>
    <w:rPr>
      <w:rFonts w:eastAsia="Times New Roman"/>
    </w:rPr>
  </w:style>
  <w:style w:type="character" w:customStyle="1" w:styleId="ListLabel31">
    <w:name w:val="ListLabel 31"/>
    <w:rPr>
      <w:rFonts w:eastAsia="Times New Roman"/>
    </w:rPr>
  </w:style>
  <w:style w:type="character" w:customStyle="1" w:styleId="ListLabel30">
    <w:name w:val="ListLabel 30"/>
    <w:rPr>
      <w:rFonts w:eastAsia="Times New Roman"/>
    </w:rPr>
  </w:style>
  <w:style w:type="character" w:customStyle="1" w:styleId="ListLabel29">
    <w:name w:val="ListLabel 29"/>
    <w:rPr>
      <w:rFonts w:eastAsia="Times New Roman"/>
    </w:rPr>
  </w:style>
  <w:style w:type="character" w:customStyle="1" w:styleId="ListLabel28">
    <w:name w:val="ListLabel 28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a3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Strong">
    <w:name w:val="Strong"/>
    <w:rPr>
      <w:rFonts w:eastAsia="Times New Roman"/>
      <w:bCs/>
    </w:rPr>
  </w:style>
  <w:style w:type="character" w:customStyle="1" w:styleId="pagenumber">
    <w:name w:val="page number"/>
    <w:rPr>
      <w:rFonts w:eastAsia="Times New Roman"/>
    </w:rPr>
  </w:style>
  <w:style w:type="character" w:customStyle="1" w:styleId="21">
    <w:name w:val="Основной текст 2 Знак"/>
  </w:style>
  <w:style w:type="character" w:customStyle="1" w:styleId="a4">
    <w:name w:val="Верхний колонтитул Знак"/>
  </w:style>
  <w:style w:type="character" w:customStyle="1" w:styleId="11">
    <w:name w:val="Заголовок 1 Знак"/>
    <w:rPr>
      <w:rFonts w:ascii="Cambria" w:eastAsia="Cambria" w:hAnsi="Cambria" w:cs="Cambria"/>
      <w:b/>
      <w:bCs/>
      <w:sz w:val="32"/>
      <w:szCs w:val="32"/>
    </w:rPr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12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40">
    <w:name w:val="Заголовок4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lang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lang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Обычный (веб)"/>
    <w:basedOn w:val="a"/>
  </w:style>
  <w:style w:type="paragraph" w:customStyle="1" w:styleId="25">
    <w:name w:val="Основной текст (2)"/>
    <w:basedOn w:val="a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a">
    <w:name w:val="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suppressAutoHyphens/>
    </w:pPr>
    <w:rPr>
      <w:rFonts w:eastAsia="NSimSun" w:cs="Mangal"/>
      <w:sz w:val="28"/>
      <w:szCs w:val="28"/>
      <w:lang w:eastAsia="zh-CN" w:bidi="hi-IN"/>
    </w:rPr>
  </w:style>
  <w:style w:type="paragraph" w:customStyle="1" w:styleId="ab">
    <w:name w:val="Знак Знак Знак"/>
    <w:basedOn w:val="a"/>
    <w:pPr>
      <w:spacing w:after="160" w:line="240" w:lineRule="exact"/>
      <w:ind w:left="26"/>
    </w:p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libri" w:eastAsia="Calibri" w:hAnsi="Calibri" w:cs="Liberation Serif"/>
      <w:kern w:val="2"/>
      <w:sz w:val="24"/>
      <w:szCs w:val="24"/>
      <w:lang w:val="de-DE" w:eastAsia="zh-C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6">
    <w:name w:val="Без интервала1"/>
    <w:pPr>
      <w:suppressAutoHyphens/>
    </w:pPr>
    <w:rPr>
      <w:rFonts w:ascii="Calibri" w:eastAsia="Calibri" w:hAnsi="Calibri" w:cs="Liberation Serif"/>
      <w:kern w:val="2"/>
      <w:sz w:val="22"/>
      <w:szCs w:val="22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kern w:val="2"/>
      <w:lang w:eastAsia="zh-CN" w:bidi="hi-IN"/>
    </w:rPr>
  </w:style>
  <w:style w:type="paragraph" w:customStyle="1" w:styleId="BodyText2">
    <w:name w:val="Body Text 2"/>
    <w:basedOn w:val="a"/>
    <w:pPr>
      <w:spacing w:line="240" w:lineRule="exact"/>
      <w:ind w:firstLine="540"/>
      <w:jc w:val="both"/>
    </w:pPr>
    <w:rPr>
      <w:sz w:val="28"/>
    </w:rPr>
  </w:style>
  <w:style w:type="paragraph" w:customStyle="1" w:styleId="NormalTable">
    <w:name w:val="Normal Table"/>
    <w:pPr>
      <w:suppressAutoHyphens/>
      <w:spacing w:after="160" w:line="252" w:lineRule="auto"/>
    </w:pPr>
    <w:rPr>
      <w:rFonts w:cs="Liberation Serif"/>
      <w:kern w:val="2"/>
      <w:sz w:val="22"/>
      <w:szCs w:val="22"/>
      <w:lang w:eastAsia="zh-CN" w:bidi="hi-IN"/>
    </w:rPr>
  </w:style>
  <w:style w:type="paragraph" w:customStyle="1" w:styleId="NoSpacing">
    <w:name w:val="No Spacing"/>
    <w:pPr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customStyle="1" w:styleId="BodyTextIndent">
    <w:name w:val="Body Text Indent"/>
    <w:basedOn w:val="a6"/>
    <w:pPr>
      <w:ind w:firstLine="210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42">
    <w:name w:val="Основной текст (4)"/>
    <w:basedOn w:val="a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c">
    <w:name w:val="Обычный + По ширине"/>
    <w:basedOn w:val="a"/>
    <w:pPr>
      <w:widowControl w:val="0"/>
      <w:spacing w:before="120" w:after="120"/>
      <w:ind w:firstLine="720"/>
      <w:jc w:val="both"/>
    </w:pPr>
    <w:rPr>
      <w:sz w:val="28"/>
      <w:szCs w:val="28"/>
      <w:lang/>
    </w:rPr>
  </w:style>
  <w:style w:type="paragraph" w:styleId="ad">
    <w:name w:val="No Spacing"/>
    <w:qFormat/>
    <w:pPr>
      <w:suppressAutoHyphens/>
    </w:pPr>
    <w:rPr>
      <w:lang w:eastAsia="zh-CN"/>
    </w:rPr>
  </w:style>
  <w:style w:type="paragraph" w:customStyle="1" w:styleId="ae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link w:val="17"/>
    <w:uiPriority w:val="99"/>
    <w:unhideWhenUsed/>
    <w:rsid w:val="00771375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0"/>
    <w:uiPriority w:val="99"/>
    <w:rsid w:val="0077137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cp:keywords/>
  <cp:lastModifiedBy>79628079622</cp:lastModifiedBy>
  <cp:revision>2</cp:revision>
  <cp:lastPrinted>1601-01-01T00:00:00Z</cp:lastPrinted>
  <dcterms:created xsi:type="dcterms:W3CDTF">2023-01-18T01:09:00Z</dcterms:created>
  <dcterms:modified xsi:type="dcterms:W3CDTF">2023-01-18T01:09:00Z</dcterms:modified>
</cp:coreProperties>
</file>